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BB" w:rsidRDefault="00EE3F15" w:rsidP="00EE3F15">
      <w:pPr>
        <w:jc w:val="center"/>
        <w:rPr>
          <w:rFonts w:asciiTheme="minorHAnsi" w:hAnsiTheme="minorHAnsi" w:cstheme="minorHAnsi"/>
          <w:b/>
          <w:sz w:val="32"/>
          <w:szCs w:val="32"/>
        </w:rPr>
      </w:pPr>
      <w:r w:rsidRPr="00EE3F15">
        <w:rPr>
          <w:b/>
          <w:noProof/>
          <w:sz w:val="32"/>
          <w:szCs w:val="32"/>
          <w:lang w:eastAsia="en-GB"/>
        </w:rPr>
        <w:drawing>
          <wp:anchor distT="0" distB="0" distL="114300" distR="114300" simplePos="0" relativeHeight="251659264" behindDoc="1" locked="1" layoutInCell="1" allowOverlap="1" wp14:anchorId="072924D2" wp14:editId="50764443">
            <wp:simplePos x="0" y="0"/>
            <wp:positionH relativeFrom="margin">
              <wp:posOffset>-574675</wp:posOffset>
            </wp:positionH>
            <wp:positionV relativeFrom="paragraph">
              <wp:posOffset>-544195</wp:posOffset>
            </wp:positionV>
            <wp:extent cx="855980" cy="755650"/>
            <wp:effectExtent l="0" t="0" r="1270" b="6350"/>
            <wp:wrapNone/>
            <wp:docPr id="1" name="Picture 1" descr="Description: O:\2014-2015\Lucy\DP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2014-2015\Lucy\DPP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98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F15">
        <w:rPr>
          <w:rFonts w:asciiTheme="minorHAnsi" w:hAnsiTheme="minorHAnsi" w:cstheme="minorHAnsi"/>
          <w:b/>
          <w:sz w:val="32"/>
          <w:szCs w:val="32"/>
        </w:rPr>
        <w:t>Devonshire Park Primary School Interventions</w:t>
      </w:r>
    </w:p>
    <w:p w:rsidR="00EE3F15" w:rsidRDefault="00EE3F15" w:rsidP="00EE3F15">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4508"/>
        <w:gridCol w:w="4508"/>
      </w:tblGrid>
      <w:tr w:rsidR="00EE3F15" w:rsidTr="00EE3F15">
        <w:tc>
          <w:tcPr>
            <w:tcW w:w="4508" w:type="dxa"/>
          </w:tcPr>
          <w:p w:rsidR="00EE3F15" w:rsidRDefault="00EE3F15" w:rsidP="00EE3F15">
            <w:pPr>
              <w:jc w:val="center"/>
              <w:rPr>
                <w:rFonts w:asciiTheme="minorHAnsi" w:hAnsiTheme="minorHAnsi" w:cstheme="minorHAnsi"/>
                <w:b/>
                <w:sz w:val="24"/>
                <w:szCs w:val="24"/>
              </w:rPr>
            </w:pPr>
            <w:r>
              <w:rPr>
                <w:rFonts w:asciiTheme="minorHAnsi" w:hAnsiTheme="minorHAnsi" w:cstheme="minorHAnsi"/>
                <w:b/>
                <w:sz w:val="24"/>
                <w:szCs w:val="24"/>
              </w:rPr>
              <w:t>Intervention</w:t>
            </w:r>
          </w:p>
        </w:tc>
        <w:tc>
          <w:tcPr>
            <w:tcW w:w="4508" w:type="dxa"/>
          </w:tcPr>
          <w:p w:rsidR="00EE3F15" w:rsidRDefault="00EE3F15" w:rsidP="00EE3F15">
            <w:pPr>
              <w:jc w:val="center"/>
              <w:rPr>
                <w:rFonts w:asciiTheme="minorHAnsi" w:hAnsiTheme="minorHAnsi" w:cstheme="minorHAnsi"/>
                <w:b/>
                <w:sz w:val="24"/>
                <w:szCs w:val="24"/>
              </w:rPr>
            </w:pPr>
            <w:r>
              <w:rPr>
                <w:rFonts w:asciiTheme="minorHAnsi" w:hAnsiTheme="minorHAnsi" w:cstheme="minorHAnsi"/>
                <w:b/>
                <w:sz w:val="24"/>
                <w:szCs w:val="24"/>
              </w:rPr>
              <w:t>Overview</w:t>
            </w:r>
          </w:p>
        </w:tc>
      </w:tr>
      <w:tr w:rsidR="00EE3F15" w:rsidTr="00EE3F15">
        <w:tc>
          <w:tcPr>
            <w:tcW w:w="4508" w:type="dxa"/>
          </w:tcPr>
          <w:p w:rsidR="00EE3F15" w:rsidRDefault="00EE3F15" w:rsidP="00EE3F15">
            <w:pPr>
              <w:rPr>
                <w:rFonts w:asciiTheme="minorHAnsi" w:hAnsiTheme="minorHAnsi" w:cstheme="minorHAnsi"/>
                <w:b/>
                <w:sz w:val="24"/>
                <w:szCs w:val="24"/>
              </w:rPr>
            </w:pPr>
            <w:r>
              <w:rPr>
                <w:rFonts w:asciiTheme="minorHAnsi" w:hAnsiTheme="minorHAnsi" w:cstheme="minorHAnsi"/>
                <w:b/>
                <w:sz w:val="24"/>
                <w:szCs w:val="24"/>
              </w:rPr>
              <w:t>Catch Up Numeracy</w:t>
            </w:r>
          </w:p>
        </w:tc>
        <w:tc>
          <w:tcPr>
            <w:tcW w:w="4508" w:type="dxa"/>
          </w:tcPr>
          <w:p w:rsidR="00EE3F15" w:rsidRPr="00EE3F15" w:rsidRDefault="00EE3F15" w:rsidP="00EE3F15">
            <w:pPr>
              <w:spacing w:after="0" w:line="240" w:lineRule="auto"/>
              <w:rPr>
                <w:rFonts w:asciiTheme="minorHAnsi" w:eastAsia="Times New Roman" w:hAnsiTheme="minorHAnsi" w:cstheme="minorHAnsi"/>
                <w:sz w:val="20"/>
                <w:szCs w:val="20"/>
                <w:lang w:eastAsia="en-GB"/>
              </w:rPr>
            </w:pPr>
            <w:r w:rsidRPr="00197527">
              <w:rPr>
                <w:rFonts w:asciiTheme="minorHAnsi" w:eastAsia="Times New Roman" w:hAnsiTheme="minorHAnsi" w:cstheme="minorHAnsi"/>
                <w:color w:val="666666"/>
                <w:sz w:val="20"/>
                <w:szCs w:val="20"/>
                <w:shd w:val="clear" w:color="auto" w:fill="FFFFFF"/>
                <w:lang w:eastAsia="en-GB"/>
              </w:rPr>
              <w:t>Catch Up</w:t>
            </w:r>
            <w:r w:rsidRPr="00197527">
              <w:rPr>
                <w:rFonts w:asciiTheme="minorHAnsi" w:eastAsia="Times New Roman" w:hAnsiTheme="minorHAnsi" w:cstheme="minorHAnsi"/>
                <w:color w:val="666666"/>
                <w:sz w:val="20"/>
                <w:szCs w:val="20"/>
                <w:shd w:val="clear" w:color="auto" w:fill="FFFFFF"/>
                <w:vertAlign w:val="superscript"/>
                <w:lang w:eastAsia="en-GB"/>
              </w:rPr>
              <w:t>®</w:t>
            </w:r>
            <w:r w:rsidRPr="00EE3F15">
              <w:rPr>
                <w:rFonts w:asciiTheme="minorHAnsi" w:eastAsia="Times New Roman" w:hAnsiTheme="minorHAnsi" w:cstheme="minorHAnsi"/>
                <w:color w:val="666666"/>
                <w:sz w:val="20"/>
                <w:szCs w:val="20"/>
                <w:shd w:val="clear" w:color="auto" w:fill="FFFFFF"/>
                <w:lang w:eastAsia="en-GB"/>
              </w:rPr>
              <w:t> Numeracy is a structured one-to-one intervention for learners who find numeracy difficult. It enables learners who struggle with numeracy to achieve more than double the progress of typically developing learners.</w:t>
            </w:r>
            <w:r w:rsidRPr="00197527">
              <w:rPr>
                <w:rFonts w:asciiTheme="minorHAnsi" w:eastAsia="Times New Roman" w:hAnsiTheme="minorHAnsi" w:cstheme="minorHAnsi"/>
                <w:color w:val="666666"/>
                <w:sz w:val="20"/>
                <w:szCs w:val="20"/>
                <w:lang w:eastAsia="en-GB"/>
              </w:rPr>
              <w:br/>
            </w:r>
            <w:r w:rsidRPr="00197527">
              <w:rPr>
                <w:rFonts w:asciiTheme="minorHAnsi" w:eastAsia="Times New Roman" w:hAnsiTheme="minorHAnsi" w:cstheme="minorHAnsi"/>
                <w:color w:val="666666"/>
                <w:sz w:val="20"/>
                <w:szCs w:val="20"/>
                <w:shd w:val="clear" w:color="auto" w:fill="FFFFFF"/>
                <w:lang w:eastAsia="en-GB"/>
              </w:rPr>
              <w:t>Catch Up</w:t>
            </w:r>
            <w:r w:rsidRPr="00197527">
              <w:rPr>
                <w:rFonts w:asciiTheme="minorHAnsi" w:eastAsia="Times New Roman" w:hAnsiTheme="minorHAnsi" w:cstheme="minorHAnsi"/>
                <w:color w:val="666666"/>
                <w:sz w:val="20"/>
                <w:szCs w:val="20"/>
                <w:shd w:val="clear" w:color="auto" w:fill="FFFFFF"/>
                <w:vertAlign w:val="superscript"/>
                <w:lang w:eastAsia="en-GB"/>
              </w:rPr>
              <w:t>®</w:t>
            </w:r>
            <w:r w:rsidRPr="00EE3F15">
              <w:rPr>
                <w:rFonts w:asciiTheme="minorHAnsi" w:eastAsia="Times New Roman" w:hAnsiTheme="minorHAnsi" w:cstheme="minorHAnsi"/>
                <w:color w:val="666666"/>
                <w:sz w:val="20"/>
                <w:szCs w:val="20"/>
                <w:shd w:val="clear" w:color="auto" w:fill="FFFFFF"/>
                <w:lang w:eastAsia="en-GB"/>
              </w:rPr>
              <w:t> Numeracy involves 15-minute individual sessions delivered twice a week. It is grounded in academic research and addresses 10 key components of numeracy:</w:t>
            </w:r>
            <w:r w:rsidRPr="00197527">
              <w:rPr>
                <w:rFonts w:asciiTheme="minorHAnsi" w:eastAsia="Times New Roman" w:hAnsiTheme="minorHAnsi" w:cstheme="minorHAnsi"/>
                <w:color w:val="666666"/>
                <w:sz w:val="20"/>
                <w:szCs w:val="20"/>
                <w:lang w:eastAsia="en-GB"/>
              </w:rPr>
              <w:br/>
            </w:r>
            <w:r w:rsidRPr="00EE3F15">
              <w:rPr>
                <w:rFonts w:asciiTheme="minorHAnsi" w:eastAsia="Times New Roman" w:hAnsiTheme="minorHAnsi" w:cstheme="minorHAnsi"/>
                <w:color w:val="666666"/>
                <w:sz w:val="20"/>
                <w:szCs w:val="20"/>
                <w:lang w:eastAsia="en-GB"/>
              </w:rPr>
              <w:t>Counting verbally</w:t>
            </w:r>
          </w:p>
          <w:p w:rsidR="00EE3F15" w:rsidRPr="00EE3F15" w:rsidRDefault="00EE3F15" w:rsidP="00EE3F15">
            <w:pPr>
              <w:numPr>
                <w:ilvl w:val="0"/>
                <w:numId w:val="1"/>
              </w:numPr>
              <w:shd w:val="clear" w:color="auto" w:fill="FFFFFF"/>
              <w:spacing w:after="0" w:line="240" w:lineRule="auto"/>
              <w:ind w:left="0"/>
              <w:rPr>
                <w:rFonts w:asciiTheme="minorHAnsi" w:eastAsia="Times New Roman" w:hAnsiTheme="minorHAnsi" w:cstheme="minorHAnsi"/>
                <w:color w:val="666666"/>
                <w:sz w:val="20"/>
                <w:szCs w:val="20"/>
                <w:lang w:eastAsia="en-GB"/>
              </w:rPr>
            </w:pPr>
            <w:r w:rsidRPr="00EE3F15">
              <w:rPr>
                <w:rFonts w:asciiTheme="minorHAnsi" w:eastAsia="Times New Roman" w:hAnsiTheme="minorHAnsi" w:cstheme="minorHAnsi"/>
                <w:color w:val="666666"/>
                <w:sz w:val="20"/>
                <w:szCs w:val="20"/>
                <w:lang w:eastAsia="en-GB"/>
              </w:rPr>
              <w:t>Counting objects</w:t>
            </w:r>
          </w:p>
          <w:p w:rsidR="00EE3F15" w:rsidRPr="00EE3F15" w:rsidRDefault="00EE3F15" w:rsidP="00EE3F15">
            <w:pPr>
              <w:numPr>
                <w:ilvl w:val="0"/>
                <w:numId w:val="1"/>
              </w:numPr>
              <w:shd w:val="clear" w:color="auto" w:fill="FFFFFF"/>
              <w:spacing w:after="0" w:line="240" w:lineRule="auto"/>
              <w:ind w:left="0"/>
              <w:rPr>
                <w:rFonts w:asciiTheme="minorHAnsi" w:eastAsia="Times New Roman" w:hAnsiTheme="minorHAnsi" w:cstheme="minorHAnsi"/>
                <w:color w:val="666666"/>
                <w:sz w:val="20"/>
                <w:szCs w:val="20"/>
                <w:lang w:eastAsia="en-GB"/>
              </w:rPr>
            </w:pPr>
            <w:r w:rsidRPr="00EE3F15">
              <w:rPr>
                <w:rFonts w:asciiTheme="minorHAnsi" w:eastAsia="Times New Roman" w:hAnsiTheme="minorHAnsi" w:cstheme="minorHAnsi"/>
                <w:color w:val="666666"/>
                <w:sz w:val="20"/>
                <w:szCs w:val="20"/>
                <w:lang w:eastAsia="en-GB"/>
              </w:rPr>
              <w:t>Reading and writing</w:t>
            </w:r>
          </w:p>
          <w:p w:rsidR="00EE3F15" w:rsidRPr="00EE3F15" w:rsidRDefault="00EE3F15" w:rsidP="00EE3F15">
            <w:pPr>
              <w:numPr>
                <w:ilvl w:val="0"/>
                <w:numId w:val="1"/>
              </w:numPr>
              <w:shd w:val="clear" w:color="auto" w:fill="FFFFFF"/>
              <w:spacing w:after="0" w:line="240" w:lineRule="auto"/>
              <w:ind w:left="0"/>
              <w:rPr>
                <w:rFonts w:asciiTheme="minorHAnsi" w:eastAsia="Times New Roman" w:hAnsiTheme="minorHAnsi" w:cstheme="minorHAnsi"/>
                <w:color w:val="666666"/>
                <w:sz w:val="20"/>
                <w:szCs w:val="20"/>
                <w:lang w:eastAsia="en-GB"/>
              </w:rPr>
            </w:pPr>
            <w:r w:rsidRPr="00EE3F15">
              <w:rPr>
                <w:rFonts w:asciiTheme="minorHAnsi" w:eastAsia="Times New Roman" w:hAnsiTheme="minorHAnsi" w:cstheme="minorHAnsi"/>
                <w:color w:val="666666"/>
                <w:sz w:val="20"/>
                <w:szCs w:val="20"/>
                <w:lang w:eastAsia="en-GB"/>
              </w:rPr>
              <w:t>Hundreds, tens and units</w:t>
            </w:r>
          </w:p>
          <w:p w:rsidR="00EE3F15" w:rsidRPr="00EE3F15" w:rsidRDefault="00EE3F15" w:rsidP="00EE3F15">
            <w:pPr>
              <w:numPr>
                <w:ilvl w:val="0"/>
                <w:numId w:val="1"/>
              </w:numPr>
              <w:shd w:val="clear" w:color="auto" w:fill="FFFFFF"/>
              <w:spacing w:after="0" w:line="240" w:lineRule="auto"/>
              <w:ind w:left="0"/>
              <w:rPr>
                <w:rFonts w:asciiTheme="minorHAnsi" w:eastAsia="Times New Roman" w:hAnsiTheme="minorHAnsi" w:cstheme="minorHAnsi"/>
                <w:color w:val="666666"/>
                <w:sz w:val="20"/>
                <w:szCs w:val="20"/>
                <w:lang w:eastAsia="en-GB"/>
              </w:rPr>
            </w:pPr>
            <w:r w:rsidRPr="00EE3F15">
              <w:rPr>
                <w:rFonts w:asciiTheme="minorHAnsi" w:eastAsia="Times New Roman" w:hAnsiTheme="minorHAnsi" w:cstheme="minorHAnsi"/>
                <w:color w:val="666666"/>
                <w:sz w:val="20"/>
                <w:szCs w:val="20"/>
                <w:lang w:eastAsia="en-GB"/>
              </w:rPr>
              <w:t>Estimation</w:t>
            </w:r>
          </w:p>
          <w:p w:rsidR="00EE3F15" w:rsidRPr="00EE3F15" w:rsidRDefault="00EE3F15" w:rsidP="00EE3F15">
            <w:pPr>
              <w:numPr>
                <w:ilvl w:val="0"/>
                <w:numId w:val="1"/>
              </w:numPr>
              <w:shd w:val="clear" w:color="auto" w:fill="FFFFFF"/>
              <w:spacing w:after="0" w:line="240" w:lineRule="auto"/>
              <w:ind w:left="0"/>
              <w:rPr>
                <w:rFonts w:asciiTheme="minorHAnsi" w:eastAsia="Times New Roman" w:hAnsiTheme="minorHAnsi" w:cstheme="minorHAnsi"/>
                <w:color w:val="666666"/>
                <w:sz w:val="20"/>
                <w:szCs w:val="20"/>
                <w:lang w:eastAsia="en-GB"/>
              </w:rPr>
            </w:pPr>
            <w:r w:rsidRPr="00EE3F15">
              <w:rPr>
                <w:rFonts w:asciiTheme="minorHAnsi" w:eastAsia="Times New Roman" w:hAnsiTheme="minorHAnsi" w:cstheme="minorHAnsi"/>
                <w:color w:val="666666"/>
                <w:sz w:val="20"/>
                <w:szCs w:val="20"/>
                <w:lang w:eastAsia="en-GB"/>
              </w:rPr>
              <w:t>Word problems</w:t>
            </w:r>
          </w:p>
          <w:p w:rsidR="00EE3F15" w:rsidRPr="00EE3F15" w:rsidRDefault="00EE3F15" w:rsidP="00EE3F15">
            <w:pPr>
              <w:numPr>
                <w:ilvl w:val="0"/>
                <w:numId w:val="1"/>
              </w:numPr>
              <w:shd w:val="clear" w:color="auto" w:fill="FFFFFF"/>
              <w:spacing w:after="0" w:line="240" w:lineRule="auto"/>
              <w:ind w:left="0"/>
              <w:rPr>
                <w:rFonts w:asciiTheme="minorHAnsi" w:eastAsia="Times New Roman" w:hAnsiTheme="minorHAnsi" w:cstheme="minorHAnsi"/>
                <w:color w:val="666666"/>
                <w:sz w:val="20"/>
                <w:szCs w:val="20"/>
                <w:lang w:eastAsia="en-GB"/>
              </w:rPr>
            </w:pPr>
            <w:r w:rsidRPr="00EE3F15">
              <w:rPr>
                <w:rFonts w:asciiTheme="minorHAnsi" w:eastAsia="Times New Roman" w:hAnsiTheme="minorHAnsi" w:cstheme="minorHAnsi"/>
                <w:color w:val="666666"/>
                <w:sz w:val="20"/>
                <w:szCs w:val="20"/>
                <w:lang w:eastAsia="en-GB"/>
              </w:rPr>
              <w:t>Translation</w:t>
            </w:r>
          </w:p>
          <w:p w:rsidR="00EE3F15" w:rsidRPr="00EE3F15" w:rsidRDefault="00EE3F15" w:rsidP="00EE3F15">
            <w:pPr>
              <w:numPr>
                <w:ilvl w:val="0"/>
                <w:numId w:val="1"/>
              </w:numPr>
              <w:shd w:val="clear" w:color="auto" w:fill="FFFFFF"/>
              <w:spacing w:after="0" w:line="240" w:lineRule="auto"/>
              <w:ind w:left="0"/>
              <w:rPr>
                <w:rFonts w:asciiTheme="minorHAnsi" w:eastAsia="Times New Roman" w:hAnsiTheme="minorHAnsi" w:cstheme="minorHAnsi"/>
                <w:color w:val="666666"/>
                <w:sz w:val="20"/>
                <w:szCs w:val="20"/>
                <w:lang w:eastAsia="en-GB"/>
              </w:rPr>
            </w:pPr>
            <w:r w:rsidRPr="00EE3F15">
              <w:rPr>
                <w:rFonts w:asciiTheme="minorHAnsi" w:eastAsia="Times New Roman" w:hAnsiTheme="minorHAnsi" w:cstheme="minorHAnsi"/>
                <w:color w:val="666666"/>
                <w:sz w:val="20"/>
                <w:szCs w:val="20"/>
                <w:lang w:eastAsia="en-GB"/>
              </w:rPr>
              <w:t>Remembered facts</w:t>
            </w:r>
          </w:p>
          <w:p w:rsidR="00EE3F15" w:rsidRPr="00EE3F15" w:rsidRDefault="00EE3F15" w:rsidP="00EE3F15">
            <w:pPr>
              <w:numPr>
                <w:ilvl w:val="0"/>
                <w:numId w:val="1"/>
              </w:numPr>
              <w:shd w:val="clear" w:color="auto" w:fill="FFFFFF"/>
              <w:spacing w:after="0" w:line="240" w:lineRule="auto"/>
              <w:ind w:left="0"/>
              <w:rPr>
                <w:rFonts w:asciiTheme="minorHAnsi" w:eastAsia="Times New Roman" w:hAnsiTheme="minorHAnsi" w:cstheme="minorHAnsi"/>
                <w:color w:val="666666"/>
                <w:sz w:val="20"/>
                <w:szCs w:val="20"/>
                <w:lang w:eastAsia="en-GB"/>
              </w:rPr>
            </w:pPr>
            <w:r w:rsidRPr="00EE3F15">
              <w:rPr>
                <w:rFonts w:asciiTheme="minorHAnsi" w:eastAsia="Times New Roman" w:hAnsiTheme="minorHAnsi" w:cstheme="minorHAnsi"/>
                <w:color w:val="666666"/>
                <w:sz w:val="20"/>
                <w:szCs w:val="20"/>
                <w:lang w:eastAsia="en-GB"/>
              </w:rPr>
              <w:t>Derived facts</w:t>
            </w:r>
          </w:p>
          <w:p w:rsidR="00EE3F15" w:rsidRPr="00EE3F15" w:rsidRDefault="00EE3F15" w:rsidP="00EE3F15">
            <w:pPr>
              <w:numPr>
                <w:ilvl w:val="0"/>
                <w:numId w:val="1"/>
              </w:numPr>
              <w:shd w:val="clear" w:color="auto" w:fill="FFFFFF"/>
              <w:spacing w:after="0" w:line="240" w:lineRule="auto"/>
              <w:ind w:left="0"/>
              <w:rPr>
                <w:rFonts w:asciiTheme="minorHAnsi" w:eastAsia="Times New Roman" w:hAnsiTheme="minorHAnsi" w:cstheme="minorHAnsi"/>
                <w:color w:val="666666"/>
                <w:sz w:val="20"/>
                <w:szCs w:val="20"/>
                <w:lang w:eastAsia="en-GB"/>
              </w:rPr>
            </w:pPr>
            <w:r w:rsidRPr="00EE3F15">
              <w:rPr>
                <w:rFonts w:asciiTheme="minorHAnsi" w:eastAsia="Times New Roman" w:hAnsiTheme="minorHAnsi" w:cstheme="minorHAnsi"/>
                <w:color w:val="666666"/>
                <w:sz w:val="20"/>
                <w:szCs w:val="20"/>
                <w:lang w:eastAsia="en-GB"/>
              </w:rPr>
              <w:t>Ordinal numbers</w:t>
            </w:r>
          </w:p>
          <w:p w:rsidR="00EE3F15" w:rsidRPr="00197527" w:rsidRDefault="00EE3F15" w:rsidP="00EE3F15">
            <w:pPr>
              <w:rPr>
                <w:rFonts w:asciiTheme="minorHAnsi" w:hAnsiTheme="minorHAnsi" w:cstheme="minorHAnsi"/>
                <w:b/>
                <w:sz w:val="20"/>
                <w:szCs w:val="20"/>
              </w:rPr>
            </w:pPr>
            <w:r w:rsidRPr="00197527">
              <w:rPr>
                <w:rFonts w:asciiTheme="minorHAnsi" w:eastAsia="Times New Roman" w:hAnsiTheme="minorHAnsi" w:cstheme="minorHAnsi"/>
                <w:color w:val="666666"/>
                <w:sz w:val="20"/>
                <w:szCs w:val="20"/>
                <w:shd w:val="clear" w:color="auto" w:fill="FFFFFF"/>
                <w:lang w:eastAsia="en-GB"/>
              </w:rPr>
              <w:t xml:space="preserve">It is suitable for all struggling learners whose Number Age is significantly below their Chronological Age and is designed for use with struggling </w:t>
            </w:r>
            <w:proofErr w:type="gramStart"/>
            <w:r w:rsidRPr="00197527">
              <w:rPr>
                <w:rFonts w:asciiTheme="minorHAnsi" w:eastAsia="Times New Roman" w:hAnsiTheme="minorHAnsi" w:cstheme="minorHAnsi"/>
                <w:color w:val="666666"/>
                <w:sz w:val="20"/>
                <w:szCs w:val="20"/>
                <w:shd w:val="clear" w:color="auto" w:fill="FFFFFF"/>
                <w:lang w:eastAsia="en-GB"/>
              </w:rPr>
              <w:t>learners</w:t>
            </w:r>
            <w:proofErr w:type="gramEnd"/>
            <w:r w:rsidRPr="00197527">
              <w:rPr>
                <w:rFonts w:asciiTheme="minorHAnsi" w:eastAsia="Times New Roman" w:hAnsiTheme="minorHAnsi" w:cstheme="minorHAnsi"/>
                <w:color w:val="666666"/>
                <w:sz w:val="20"/>
                <w:szCs w:val="20"/>
                <w:shd w:val="clear" w:color="auto" w:fill="FFFFFF"/>
                <w:lang w:eastAsia="en-GB"/>
              </w:rPr>
              <w:t xml:space="preserve"> aged 6-14, rather than beginner learners.</w:t>
            </w:r>
          </w:p>
        </w:tc>
      </w:tr>
      <w:tr w:rsidR="00EE3F15" w:rsidTr="00EE3F15">
        <w:tc>
          <w:tcPr>
            <w:tcW w:w="4508" w:type="dxa"/>
          </w:tcPr>
          <w:p w:rsidR="00EE3F15" w:rsidRDefault="00EE3F15" w:rsidP="00EE3F15">
            <w:pPr>
              <w:rPr>
                <w:rFonts w:asciiTheme="minorHAnsi" w:hAnsiTheme="minorHAnsi" w:cstheme="minorHAnsi"/>
                <w:b/>
                <w:sz w:val="24"/>
                <w:szCs w:val="24"/>
              </w:rPr>
            </w:pPr>
            <w:r>
              <w:rPr>
                <w:rFonts w:asciiTheme="minorHAnsi" w:hAnsiTheme="minorHAnsi" w:cstheme="minorHAnsi"/>
                <w:b/>
                <w:sz w:val="24"/>
                <w:szCs w:val="24"/>
              </w:rPr>
              <w:t>Catch Up Literacy</w:t>
            </w:r>
          </w:p>
          <w:p w:rsidR="007421D6" w:rsidRDefault="007421D6" w:rsidP="00EE3F15">
            <w:pPr>
              <w:rPr>
                <w:rFonts w:asciiTheme="minorHAnsi" w:hAnsiTheme="minorHAnsi" w:cstheme="minorHAnsi"/>
                <w:b/>
                <w:sz w:val="24"/>
                <w:szCs w:val="24"/>
              </w:rPr>
            </w:pPr>
          </w:p>
          <w:p w:rsidR="007421D6" w:rsidRDefault="007421D6" w:rsidP="00EE3F15">
            <w:pPr>
              <w:rPr>
                <w:rFonts w:asciiTheme="minorHAnsi" w:hAnsiTheme="minorHAnsi" w:cstheme="minorHAnsi"/>
                <w:b/>
                <w:sz w:val="24"/>
                <w:szCs w:val="24"/>
              </w:rPr>
            </w:pPr>
          </w:p>
          <w:p w:rsidR="007421D6" w:rsidRDefault="007421D6" w:rsidP="00EE3F15">
            <w:pPr>
              <w:rPr>
                <w:rFonts w:asciiTheme="minorHAnsi" w:hAnsiTheme="minorHAnsi" w:cstheme="minorHAnsi"/>
                <w:b/>
                <w:sz w:val="24"/>
                <w:szCs w:val="24"/>
              </w:rPr>
            </w:pPr>
          </w:p>
          <w:p w:rsidR="007421D6" w:rsidRDefault="007421D6" w:rsidP="00EE3F15">
            <w:pPr>
              <w:rPr>
                <w:rFonts w:asciiTheme="minorHAnsi" w:hAnsiTheme="minorHAnsi" w:cstheme="minorHAnsi"/>
                <w:b/>
                <w:sz w:val="24"/>
                <w:szCs w:val="24"/>
              </w:rPr>
            </w:pPr>
          </w:p>
          <w:p w:rsidR="007421D6" w:rsidRDefault="007421D6" w:rsidP="00EE3F15">
            <w:pPr>
              <w:rPr>
                <w:rFonts w:asciiTheme="minorHAnsi" w:hAnsiTheme="minorHAnsi" w:cstheme="minorHAnsi"/>
                <w:b/>
                <w:sz w:val="24"/>
                <w:szCs w:val="24"/>
              </w:rPr>
            </w:pPr>
          </w:p>
          <w:p w:rsidR="007421D6" w:rsidRDefault="007421D6" w:rsidP="00EE3F15">
            <w:pPr>
              <w:rPr>
                <w:rFonts w:asciiTheme="minorHAnsi" w:hAnsiTheme="minorHAnsi" w:cstheme="minorHAnsi"/>
                <w:b/>
                <w:sz w:val="24"/>
                <w:szCs w:val="24"/>
              </w:rPr>
            </w:pPr>
          </w:p>
          <w:p w:rsidR="007421D6" w:rsidRDefault="007421D6" w:rsidP="00EE3F15">
            <w:pPr>
              <w:rPr>
                <w:rFonts w:asciiTheme="minorHAnsi" w:hAnsiTheme="minorHAnsi" w:cstheme="minorHAnsi"/>
                <w:b/>
                <w:sz w:val="24"/>
                <w:szCs w:val="24"/>
              </w:rPr>
            </w:pPr>
          </w:p>
          <w:p w:rsidR="007421D6" w:rsidRDefault="007421D6" w:rsidP="00EE3F15">
            <w:pPr>
              <w:rPr>
                <w:rFonts w:asciiTheme="minorHAnsi" w:hAnsiTheme="minorHAnsi" w:cstheme="minorHAnsi"/>
                <w:b/>
                <w:sz w:val="24"/>
                <w:szCs w:val="24"/>
              </w:rPr>
            </w:pPr>
          </w:p>
          <w:p w:rsidR="007421D6" w:rsidRDefault="007421D6" w:rsidP="00EE3F15">
            <w:pPr>
              <w:rPr>
                <w:rFonts w:asciiTheme="minorHAnsi" w:hAnsiTheme="minorHAnsi" w:cstheme="minorHAnsi"/>
                <w:b/>
                <w:sz w:val="24"/>
                <w:szCs w:val="24"/>
              </w:rPr>
            </w:pPr>
          </w:p>
        </w:tc>
        <w:tc>
          <w:tcPr>
            <w:tcW w:w="4508" w:type="dxa"/>
          </w:tcPr>
          <w:p w:rsidR="00EE3F15" w:rsidRPr="00197527" w:rsidRDefault="00EE3F15" w:rsidP="00EE3F15">
            <w:pPr>
              <w:rPr>
                <w:rFonts w:asciiTheme="minorHAnsi" w:hAnsiTheme="minorHAnsi" w:cstheme="minorHAnsi"/>
                <w:b/>
                <w:sz w:val="20"/>
                <w:szCs w:val="20"/>
              </w:rPr>
            </w:pPr>
            <w:r w:rsidRPr="00197527">
              <w:rPr>
                <w:rStyle w:val="nb"/>
                <w:rFonts w:asciiTheme="minorHAnsi" w:hAnsiTheme="minorHAnsi" w:cstheme="minorHAnsi"/>
                <w:color w:val="666666"/>
                <w:sz w:val="20"/>
                <w:szCs w:val="20"/>
                <w:shd w:val="clear" w:color="auto" w:fill="FFFFFF"/>
              </w:rPr>
              <w:t>Catch Up</w:t>
            </w:r>
            <w:r w:rsidRPr="00197527">
              <w:rPr>
                <w:rStyle w:val="nb"/>
                <w:rFonts w:asciiTheme="minorHAnsi" w:hAnsiTheme="minorHAnsi" w:cstheme="minorHAnsi"/>
                <w:color w:val="666666"/>
                <w:sz w:val="20"/>
                <w:szCs w:val="20"/>
                <w:shd w:val="clear" w:color="auto" w:fill="FFFFFF"/>
                <w:vertAlign w:val="superscript"/>
              </w:rPr>
              <w:t>®</w:t>
            </w:r>
            <w:r w:rsidRPr="00197527">
              <w:rPr>
                <w:rFonts w:asciiTheme="minorHAnsi" w:hAnsiTheme="minorHAnsi" w:cstheme="minorHAnsi"/>
                <w:color w:val="666666"/>
                <w:sz w:val="20"/>
                <w:szCs w:val="20"/>
                <w:shd w:val="clear" w:color="auto" w:fill="FFFFFF"/>
              </w:rPr>
              <w:t> Literacy is a structured one-to-one intervention for learners who find reading difficult. It enables struggling readers to achieve more than double the progress of typically developing readers.</w:t>
            </w:r>
            <w:r w:rsidRPr="00197527">
              <w:rPr>
                <w:rFonts w:asciiTheme="minorHAnsi" w:hAnsiTheme="minorHAnsi" w:cstheme="minorHAnsi"/>
                <w:color w:val="666666"/>
                <w:sz w:val="20"/>
                <w:szCs w:val="20"/>
              </w:rPr>
              <w:br/>
            </w:r>
            <w:r w:rsidRPr="00197527">
              <w:rPr>
                <w:rFonts w:asciiTheme="minorHAnsi" w:hAnsiTheme="minorHAnsi" w:cstheme="minorHAnsi"/>
                <w:color w:val="666666"/>
                <w:sz w:val="20"/>
                <w:szCs w:val="20"/>
              </w:rPr>
              <w:br/>
            </w:r>
            <w:r w:rsidRPr="00197527">
              <w:rPr>
                <w:rStyle w:val="nb"/>
                <w:rFonts w:asciiTheme="minorHAnsi" w:hAnsiTheme="minorHAnsi" w:cstheme="minorHAnsi"/>
                <w:color w:val="666666"/>
                <w:sz w:val="20"/>
                <w:szCs w:val="20"/>
                <w:shd w:val="clear" w:color="auto" w:fill="FFFFFF"/>
              </w:rPr>
              <w:t>Catch Up</w:t>
            </w:r>
            <w:r w:rsidRPr="00197527">
              <w:rPr>
                <w:rStyle w:val="nb"/>
                <w:rFonts w:asciiTheme="minorHAnsi" w:hAnsiTheme="minorHAnsi" w:cstheme="minorHAnsi"/>
                <w:color w:val="666666"/>
                <w:sz w:val="20"/>
                <w:szCs w:val="20"/>
                <w:shd w:val="clear" w:color="auto" w:fill="FFFFFF"/>
                <w:vertAlign w:val="superscript"/>
              </w:rPr>
              <w:t>®</w:t>
            </w:r>
            <w:r w:rsidRPr="00197527">
              <w:rPr>
                <w:rFonts w:asciiTheme="minorHAnsi" w:hAnsiTheme="minorHAnsi" w:cstheme="minorHAnsi"/>
                <w:color w:val="666666"/>
                <w:sz w:val="20"/>
                <w:szCs w:val="20"/>
                <w:shd w:val="clear" w:color="auto" w:fill="FFFFFF"/>
              </w:rPr>
              <w:t> Literacy uses a book-based approach to support learners in their reading of a book so they activate both dimensions of reading – word recognition processes (including phonics) and language comprehension processes.</w:t>
            </w:r>
            <w:r w:rsidRPr="00197527">
              <w:rPr>
                <w:rFonts w:asciiTheme="minorHAnsi" w:hAnsiTheme="minorHAnsi" w:cstheme="minorHAnsi"/>
                <w:color w:val="666666"/>
                <w:sz w:val="20"/>
                <w:szCs w:val="20"/>
              </w:rPr>
              <w:br/>
            </w:r>
            <w:r w:rsidRPr="00197527">
              <w:rPr>
                <w:rFonts w:asciiTheme="minorHAnsi" w:hAnsiTheme="minorHAnsi" w:cstheme="minorHAnsi"/>
                <w:color w:val="666666"/>
                <w:sz w:val="20"/>
                <w:szCs w:val="20"/>
              </w:rPr>
              <w:br/>
            </w:r>
            <w:r w:rsidRPr="00197527">
              <w:rPr>
                <w:rFonts w:asciiTheme="minorHAnsi" w:hAnsiTheme="minorHAnsi" w:cstheme="minorHAnsi"/>
                <w:color w:val="666666"/>
                <w:sz w:val="20"/>
                <w:szCs w:val="20"/>
                <w:shd w:val="clear" w:color="auto" w:fill="FFFFFF"/>
              </w:rPr>
              <w:t xml:space="preserve">It is suitable for all struggling readers whose Reading Age is significantly below their Chronological Age and is designed for use with struggling </w:t>
            </w:r>
            <w:proofErr w:type="gramStart"/>
            <w:r w:rsidRPr="00197527">
              <w:rPr>
                <w:rFonts w:asciiTheme="minorHAnsi" w:hAnsiTheme="minorHAnsi" w:cstheme="minorHAnsi"/>
                <w:color w:val="666666"/>
                <w:sz w:val="20"/>
                <w:szCs w:val="20"/>
                <w:shd w:val="clear" w:color="auto" w:fill="FFFFFF"/>
              </w:rPr>
              <w:t>readers</w:t>
            </w:r>
            <w:proofErr w:type="gramEnd"/>
            <w:r w:rsidRPr="00197527">
              <w:rPr>
                <w:rFonts w:asciiTheme="minorHAnsi" w:hAnsiTheme="minorHAnsi" w:cstheme="minorHAnsi"/>
                <w:color w:val="666666"/>
                <w:sz w:val="20"/>
                <w:szCs w:val="20"/>
                <w:shd w:val="clear" w:color="auto" w:fill="FFFFFF"/>
              </w:rPr>
              <w:t xml:space="preserve"> aged 6-14, rather than beginner readers.</w:t>
            </w:r>
          </w:p>
        </w:tc>
      </w:tr>
      <w:tr w:rsidR="00EE3F15" w:rsidTr="00EE3F15">
        <w:tc>
          <w:tcPr>
            <w:tcW w:w="4508" w:type="dxa"/>
          </w:tcPr>
          <w:p w:rsidR="00EE3F15" w:rsidRDefault="00406206" w:rsidP="00EE3F15">
            <w:pPr>
              <w:rPr>
                <w:rFonts w:asciiTheme="minorHAnsi" w:hAnsiTheme="minorHAnsi" w:cstheme="minorHAnsi"/>
                <w:b/>
                <w:sz w:val="24"/>
                <w:szCs w:val="24"/>
              </w:rPr>
            </w:pPr>
            <w:proofErr w:type="spellStart"/>
            <w:r>
              <w:rPr>
                <w:rFonts w:asciiTheme="minorHAnsi" w:hAnsiTheme="minorHAnsi" w:cstheme="minorHAnsi"/>
                <w:b/>
                <w:sz w:val="24"/>
                <w:szCs w:val="24"/>
              </w:rPr>
              <w:lastRenderedPageBreak/>
              <w:t>Orretts</w:t>
            </w:r>
            <w:proofErr w:type="spellEnd"/>
            <w:r>
              <w:rPr>
                <w:rFonts w:asciiTheme="minorHAnsi" w:hAnsiTheme="minorHAnsi" w:cstheme="minorHAnsi"/>
                <w:b/>
                <w:sz w:val="24"/>
                <w:szCs w:val="24"/>
              </w:rPr>
              <w:t xml:space="preserve"> Meadow Outreach</w:t>
            </w:r>
            <w:r w:rsidR="00197527">
              <w:rPr>
                <w:rFonts w:asciiTheme="minorHAnsi" w:hAnsiTheme="minorHAnsi" w:cstheme="minorHAnsi"/>
                <w:b/>
                <w:sz w:val="24"/>
                <w:szCs w:val="24"/>
              </w:rPr>
              <w:t xml:space="preserve"> </w:t>
            </w:r>
          </w:p>
        </w:tc>
        <w:tc>
          <w:tcPr>
            <w:tcW w:w="4508" w:type="dxa"/>
          </w:tcPr>
          <w:p w:rsidR="00197527" w:rsidRPr="00197527" w:rsidRDefault="008F1FEB" w:rsidP="00EE3F15">
            <w:pPr>
              <w:rPr>
                <w:rFonts w:asciiTheme="minorHAnsi" w:hAnsiTheme="minorHAnsi" w:cstheme="minorHAnsi"/>
                <w:color w:val="333300"/>
                <w:sz w:val="20"/>
                <w:szCs w:val="20"/>
                <w:shd w:val="clear" w:color="auto" w:fill="FFFFFF"/>
              </w:rPr>
            </w:pPr>
            <w:r w:rsidRPr="00197527">
              <w:rPr>
                <w:rFonts w:asciiTheme="minorHAnsi" w:hAnsiTheme="minorHAnsi" w:cstheme="minorHAnsi"/>
                <w:color w:val="333300"/>
                <w:sz w:val="20"/>
                <w:szCs w:val="20"/>
                <w:shd w:val="clear" w:color="auto" w:fill="FFFFFF"/>
              </w:rPr>
              <w:t xml:space="preserve"> This intervention supports pupils who have scored code </w:t>
            </w:r>
            <w:proofErr w:type="spellStart"/>
            <w:r w:rsidRPr="00197527">
              <w:rPr>
                <w:rFonts w:asciiTheme="minorHAnsi" w:hAnsiTheme="minorHAnsi" w:cstheme="minorHAnsi"/>
                <w:color w:val="333300"/>
                <w:sz w:val="20"/>
                <w:szCs w:val="20"/>
                <w:shd w:val="clear" w:color="auto" w:fill="FFFFFF"/>
              </w:rPr>
              <w:t>Cor</w:t>
            </w:r>
            <w:proofErr w:type="spellEnd"/>
            <w:r w:rsidRPr="00197527">
              <w:rPr>
                <w:rFonts w:asciiTheme="minorHAnsi" w:hAnsiTheme="minorHAnsi" w:cstheme="minorHAnsi"/>
                <w:color w:val="333300"/>
                <w:sz w:val="20"/>
                <w:szCs w:val="20"/>
                <w:shd w:val="clear" w:color="auto" w:fill="FFFFFF"/>
              </w:rPr>
              <w:t xml:space="preserve"> D when screened for Dyslexia.</w:t>
            </w:r>
          </w:p>
          <w:p w:rsidR="00EE3F15" w:rsidRPr="00197527" w:rsidRDefault="008F1FEB" w:rsidP="00EE3F15">
            <w:pPr>
              <w:rPr>
                <w:rFonts w:asciiTheme="minorHAnsi" w:hAnsiTheme="minorHAnsi" w:cstheme="minorHAnsi"/>
                <w:color w:val="333300"/>
                <w:sz w:val="20"/>
                <w:szCs w:val="20"/>
                <w:shd w:val="clear" w:color="auto" w:fill="FFFFFF"/>
              </w:rPr>
            </w:pPr>
            <w:r w:rsidRPr="00197527">
              <w:rPr>
                <w:rFonts w:asciiTheme="minorHAnsi" w:hAnsiTheme="minorHAnsi" w:cstheme="minorHAnsi"/>
                <w:color w:val="333300"/>
                <w:sz w:val="20"/>
                <w:szCs w:val="20"/>
                <w:shd w:val="clear" w:color="auto" w:fill="FFFFFF"/>
              </w:rPr>
              <w:t>Strategies will include; multi-sensory activities, structured phonic teaching, games, lots of revision and over-learning as well as reinforcement work for home study</w:t>
            </w:r>
          </w:p>
        </w:tc>
      </w:tr>
      <w:tr w:rsidR="00EE3F15" w:rsidTr="00EE3F15">
        <w:tc>
          <w:tcPr>
            <w:tcW w:w="4508" w:type="dxa"/>
          </w:tcPr>
          <w:p w:rsidR="00EE3F15" w:rsidRDefault="00197527" w:rsidP="00EE3F15">
            <w:pPr>
              <w:rPr>
                <w:rFonts w:asciiTheme="minorHAnsi" w:hAnsiTheme="minorHAnsi" w:cstheme="minorHAnsi"/>
                <w:b/>
                <w:sz w:val="24"/>
                <w:szCs w:val="24"/>
              </w:rPr>
            </w:pPr>
            <w:proofErr w:type="spellStart"/>
            <w:r>
              <w:rPr>
                <w:rFonts w:asciiTheme="minorHAnsi" w:hAnsiTheme="minorHAnsi" w:cstheme="minorHAnsi"/>
                <w:b/>
                <w:sz w:val="24"/>
                <w:szCs w:val="24"/>
              </w:rPr>
              <w:t>Orretts</w:t>
            </w:r>
            <w:proofErr w:type="spellEnd"/>
            <w:r>
              <w:rPr>
                <w:rFonts w:asciiTheme="minorHAnsi" w:hAnsiTheme="minorHAnsi" w:cstheme="minorHAnsi"/>
                <w:b/>
                <w:sz w:val="24"/>
                <w:szCs w:val="24"/>
              </w:rPr>
              <w:t xml:space="preserve"> Meadow Outreach</w:t>
            </w:r>
            <w:r>
              <w:rPr>
                <w:rFonts w:asciiTheme="minorHAnsi" w:hAnsiTheme="minorHAnsi" w:cstheme="minorHAnsi"/>
                <w:b/>
                <w:sz w:val="24"/>
                <w:szCs w:val="24"/>
              </w:rPr>
              <w:t xml:space="preserve"> - Dyscalculia</w:t>
            </w:r>
          </w:p>
        </w:tc>
        <w:tc>
          <w:tcPr>
            <w:tcW w:w="4508" w:type="dxa"/>
          </w:tcPr>
          <w:p w:rsidR="00EE3F15" w:rsidRPr="00197527" w:rsidRDefault="00197527" w:rsidP="00EE3F15">
            <w:pPr>
              <w:rPr>
                <w:rFonts w:cs="Calibri"/>
                <w:b/>
                <w:sz w:val="20"/>
                <w:szCs w:val="20"/>
              </w:rPr>
            </w:pPr>
            <w:r w:rsidRPr="00197527">
              <w:rPr>
                <w:rFonts w:cs="Calibri"/>
                <w:color w:val="333300"/>
                <w:sz w:val="20"/>
                <w:szCs w:val="20"/>
                <w:shd w:val="clear" w:color="auto" w:fill="FFFFFF"/>
              </w:rPr>
              <w:t xml:space="preserve">The teaching methods are similar to those used by all </w:t>
            </w:r>
            <w:proofErr w:type="spellStart"/>
            <w:r w:rsidRPr="00197527">
              <w:rPr>
                <w:rFonts w:cs="Calibri"/>
                <w:color w:val="333300"/>
                <w:sz w:val="20"/>
                <w:szCs w:val="20"/>
                <w:shd w:val="clear" w:color="auto" w:fill="FFFFFF"/>
              </w:rPr>
              <w:t>Orrets</w:t>
            </w:r>
            <w:proofErr w:type="spellEnd"/>
            <w:r w:rsidRPr="00197527">
              <w:rPr>
                <w:rFonts w:cs="Calibri"/>
                <w:color w:val="333300"/>
                <w:sz w:val="20"/>
                <w:szCs w:val="20"/>
                <w:shd w:val="clear" w:color="auto" w:fill="FFFFFF"/>
              </w:rPr>
              <w:t xml:space="preserve"> Meadow teachers i.e. multisensory, structured and cumulative with opportunities for regular revision and over-learning.  Outreach Teachers aim to provide homework activities for their pupils and develop good links with parents/carers and school colleagues</w:t>
            </w:r>
          </w:p>
        </w:tc>
      </w:tr>
      <w:tr w:rsidR="00EE3F15" w:rsidTr="00EE3F15">
        <w:tc>
          <w:tcPr>
            <w:tcW w:w="4508" w:type="dxa"/>
          </w:tcPr>
          <w:p w:rsidR="00EE3F15" w:rsidRDefault="00197527" w:rsidP="00EE3F15">
            <w:pPr>
              <w:rPr>
                <w:rFonts w:asciiTheme="minorHAnsi" w:hAnsiTheme="minorHAnsi" w:cstheme="minorHAnsi"/>
                <w:b/>
                <w:sz w:val="24"/>
                <w:szCs w:val="24"/>
              </w:rPr>
            </w:pPr>
            <w:r>
              <w:rPr>
                <w:rFonts w:asciiTheme="minorHAnsi" w:hAnsiTheme="minorHAnsi" w:cstheme="minorHAnsi"/>
                <w:b/>
                <w:sz w:val="24"/>
                <w:szCs w:val="24"/>
              </w:rPr>
              <w:t>WELLCOMM</w:t>
            </w:r>
          </w:p>
        </w:tc>
        <w:tc>
          <w:tcPr>
            <w:tcW w:w="4508" w:type="dxa"/>
          </w:tcPr>
          <w:p w:rsidR="00EE3F15" w:rsidRPr="00197527" w:rsidRDefault="00197527" w:rsidP="00EE3F15">
            <w:pPr>
              <w:rPr>
                <w:rFonts w:asciiTheme="minorHAnsi" w:hAnsiTheme="minorHAnsi" w:cstheme="minorHAnsi"/>
                <w:b/>
                <w:sz w:val="20"/>
                <w:szCs w:val="20"/>
              </w:rPr>
            </w:pPr>
            <w:proofErr w:type="spellStart"/>
            <w:r w:rsidRPr="00197527">
              <w:rPr>
                <w:rFonts w:asciiTheme="minorHAnsi" w:hAnsiTheme="minorHAnsi" w:cstheme="minorHAnsi"/>
                <w:color w:val="333333"/>
                <w:sz w:val="20"/>
                <w:szCs w:val="20"/>
                <w:shd w:val="clear" w:color="auto" w:fill="FFFFFF"/>
              </w:rPr>
              <w:t>Wellcomm</w:t>
            </w:r>
            <w:proofErr w:type="spellEnd"/>
            <w:r w:rsidRPr="00197527">
              <w:rPr>
                <w:rFonts w:asciiTheme="minorHAnsi" w:hAnsiTheme="minorHAnsi" w:cstheme="minorHAnsi"/>
                <w:color w:val="333333"/>
                <w:sz w:val="20"/>
                <w:szCs w:val="20"/>
                <w:shd w:val="clear" w:color="auto" w:fill="FFFFFF"/>
              </w:rPr>
              <w:t xml:space="preserve"> is a complete speech and language toolkit, offering screening and intervention tools for children in the early years. It is used as an initial screening tool with an individual assessment for each child. It is suitable for children aged 6 months to 6 years. The toolkit deploys a traffic light system that clearly identifies children requiring immediate intervention, as well as those who show potential language difficulties. It has the additional benefit of banding children by placing them into one of three categories, thus enabling the practitioner to proactively respond to any needs identified. Intervention activities are provided by the programme.</w:t>
            </w:r>
          </w:p>
        </w:tc>
      </w:tr>
      <w:tr w:rsidR="00EE3F15" w:rsidTr="00EE3F15">
        <w:tc>
          <w:tcPr>
            <w:tcW w:w="4508" w:type="dxa"/>
          </w:tcPr>
          <w:p w:rsidR="00EE3F15" w:rsidRDefault="00197527" w:rsidP="00EE3F15">
            <w:pPr>
              <w:rPr>
                <w:rFonts w:asciiTheme="minorHAnsi" w:hAnsiTheme="minorHAnsi" w:cstheme="minorHAnsi"/>
                <w:b/>
                <w:sz w:val="24"/>
                <w:szCs w:val="24"/>
              </w:rPr>
            </w:pPr>
            <w:r>
              <w:rPr>
                <w:rFonts w:asciiTheme="minorHAnsi" w:hAnsiTheme="minorHAnsi" w:cstheme="minorHAnsi"/>
                <w:b/>
                <w:sz w:val="24"/>
                <w:szCs w:val="24"/>
              </w:rPr>
              <w:t>Socially Speaking</w:t>
            </w:r>
          </w:p>
        </w:tc>
        <w:tc>
          <w:tcPr>
            <w:tcW w:w="4508" w:type="dxa"/>
          </w:tcPr>
          <w:p w:rsidR="00EE3F15" w:rsidRPr="00197527" w:rsidRDefault="00197527" w:rsidP="00EE3F15">
            <w:pPr>
              <w:rPr>
                <w:rFonts w:asciiTheme="minorHAnsi" w:hAnsiTheme="minorHAnsi" w:cstheme="minorHAnsi"/>
                <w:b/>
                <w:sz w:val="20"/>
                <w:szCs w:val="20"/>
              </w:rPr>
            </w:pPr>
            <w:r w:rsidRPr="00197527">
              <w:rPr>
                <w:sz w:val="20"/>
                <w:szCs w:val="20"/>
              </w:rPr>
              <w:t>This social skills programme for pupils with mild to moderate learning disabilities, physical and/or medical disabilities and for those with special needs in mainstream education is divided into three units: let's communicate; let's be friends and let's practice. It aims to increase self-esteem and improve listening skills and expressive language abilities.</w:t>
            </w:r>
          </w:p>
        </w:tc>
      </w:tr>
      <w:tr w:rsidR="00EE3F15" w:rsidTr="00EE3F15">
        <w:tc>
          <w:tcPr>
            <w:tcW w:w="4508" w:type="dxa"/>
          </w:tcPr>
          <w:p w:rsidR="00EE3F15" w:rsidRDefault="00197527" w:rsidP="00EE3F15">
            <w:pPr>
              <w:rPr>
                <w:rFonts w:asciiTheme="minorHAnsi" w:hAnsiTheme="minorHAnsi" w:cstheme="minorHAnsi"/>
                <w:b/>
                <w:sz w:val="24"/>
                <w:szCs w:val="24"/>
              </w:rPr>
            </w:pPr>
            <w:r>
              <w:rPr>
                <w:rFonts w:asciiTheme="minorHAnsi" w:hAnsiTheme="minorHAnsi" w:cstheme="minorHAnsi"/>
                <w:b/>
                <w:sz w:val="24"/>
                <w:szCs w:val="24"/>
              </w:rPr>
              <w:t>Talk for Writing</w:t>
            </w:r>
          </w:p>
        </w:tc>
        <w:tc>
          <w:tcPr>
            <w:tcW w:w="4508" w:type="dxa"/>
          </w:tcPr>
          <w:p w:rsidR="00EE3F15" w:rsidRPr="00197527" w:rsidRDefault="00197527" w:rsidP="00EE3F15">
            <w:pPr>
              <w:rPr>
                <w:rFonts w:asciiTheme="minorHAnsi" w:hAnsiTheme="minorHAnsi" w:cstheme="minorHAnsi"/>
                <w:b/>
                <w:sz w:val="20"/>
                <w:szCs w:val="20"/>
              </w:rPr>
            </w:pPr>
            <w:r w:rsidRPr="00197527">
              <w:rPr>
                <w:sz w:val="20"/>
                <w:szCs w:val="20"/>
              </w:rPr>
              <w:t>Talk for Writing enables children to imitate the key language they need for a particular topic orally before they try reading and analysing it. Through fun activities that help them rehearse the tune of the language they need, followed by shared writing to show them how to craft their writing, children are helped to write in the same style. Talk for Writing is powerful because it enables children to imitate the language they need for a particular topic orally before reading and analysing it and then writing their own version.</w:t>
            </w:r>
          </w:p>
        </w:tc>
      </w:tr>
      <w:tr w:rsidR="00197527" w:rsidTr="00EE3F15">
        <w:tc>
          <w:tcPr>
            <w:tcW w:w="4508" w:type="dxa"/>
          </w:tcPr>
          <w:p w:rsidR="00197527" w:rsidRDefault="00197527" w:rsidP="00EE3F15">
            <w:pPr>
              <w:rPr>
                <w:rFonts w:asciiTheme="minorHAnsi" w:hAnsiTheme="minorHAnsi" w:cstheme="minorHAnsi"/>
                <w:b/>
                <w:sz w:val="24"/>
                <w:szCs w:val="24"/>
              </w:rPr>
            </w:pPr>
            <w:r>
              <w:rPr>
                <w:rFonts w:asciiTheme="minorHAnsi" w:hAnsiTheme="minorHAnsi" w:cstheme="minorHAnsi"/>
                <w:b/>
                <w:sz w:val="24"/>
                <w:szCs w:val="24"/>
              </w:rPr>
              <w:t>Speech &amp; Language Support</w:t>
            </w:r>
          </w:p>
        </w:tc>
        <w:tc>
          <w:tcPr>
            <w:tcW w:w="4508" w:type="dxa"/>
          </w:tcPr>
          <w:p w:rsidR="00197527" w:rsidRPr="00197527" w:rsidRDefault="00197527" w:rsidP="00EE3F15">
            <w:pPr>
              <w:rPr>
                <w:sz w:val="20"/>
                <w:szCs w:val="20"/>
              </w:rPr>
            </w:pPr>
            <w:r w:rsidRPr="00197527">
              <w:rPr>
                <w:sz w:val="20"/>
                <w:szCs w:val="20"/>
              </w:rPr>
              <w:t xml:space="preserve">Individual support. We have a speech therapist who comes into school each half term to work on a 1:1 basis with children and their families. This service provides advice and support for children who have specific speech, language and/or communication needs. These difficulties may be with speech pronunciation, understanding and using language, stammering, </w:t>
            </w:r>
            <w:proofErr w:type="gramStart"/>
            <w:r w:rsidRPr="00197527">
              <w:rPr>
                <w:sz w:val="20"/>
                <w:szCs w:val="20"/>
              </w:rPr>
              <w:t>social</w:t>
            </w:r>
            <w:proofErr w:type="gramEnd"/>
            <w:r w:rsidRPr="00197527">
              <w:rPr>
                <w:sz w:val="20"/>
                <w:szCs w:val="20"/>
              </w:rPr>
              <w:t xml:space="preserve"> communication, voice, eating and drinking. Advice might be offered through one to one contact, training of others, group work, written advice and programmes, or a combination of these as appropriate to the child's needs.</w:t>
            </w:r>
          </w:p>
        </w:tc>
      </w:tr>
      <w:tr w:rsidR="007421D6" w:rsidTr="00EE3F15">
        <w:tc>
          <w:tcPr>
            <w:tcW w:w="4508" w:type="dxa"/>
          </w:tcPr>
          <w:p w:rsidR="007421D6" w:rsidRDefault="007421D6" w:rsidP="00EE3F15">
            <w:pPr>
              <w:rPr>
                <w:rFonts w:asciiTheme="minorHAnsi" w:hAnsiTheme="minorHAnsi" w:cstheme="minorHAnsi"/>
                <w:b/>
                <w:sz w:val="24"/>
                <w:szCs w:val="24"/>
              </w:rPr>
            </w:pPr>
            <w:r>
              <w:rPr>
                <w:rFonts w:asciiTheme="minorHAnsi" w:hAnsiTheme="minorHAnsi" w:cstheme="minorHAnsi"/>
                <w:b/>
                <w:sz w:val="24"/>
                <w:szCs w:val="24"/>
              </w:rPr>
              <w:t>SENNAT</w:t>
            </w:r>
            <w:r w:rsidR="00AE38CE">
              <w:rPr>
                <w:rFonts w:asciiTheme="minorHAnsi" w:hAnsiTheme="minorHAnsi" w:cstheme="minorHAnsi"/>
                <w:b/>
                <w:sz w:val="24"/>
                <w:szCs w:val="24"/>
              </w:rPr>
              <w:t xml:space="preserve"> recomendations</w:t>
            </w:r>
            <w:bookmarkStart w:id="0" w:name="_GoBack"/>
            <w:bookmarkEnd w:id="0"/>
          </w:p>
        </w:tc>
        <w:tc>
          <w:tcPr>
            <w:tcW w:w="4508" w:type="dxa"/>
          </w:tcPr>
          <w:p w:rsidR="007421D6" w:rsidRPr="007421D6" w:rsidRDefault="007421D6" w:rsidP="00EE3F15">
            <w:pPr>
              <w:rPr>
                <w:sz w:val="20"/>
                <w:szCs w:val="20"/>
              </w:rPr>
            </w:pPr>
            <w:r w:rsidRPr="007421D6">
              <w:rPr>
                <w:sz w:val="20"/>
                <w:szCs w:val="20"/>
              </w:rPr>
              <w:t>Individual support. We have a member of SENAAT (Special Educational Needs Advisory Assessment Team), who regularly comes into school. She assesses individual pupils and provides reports and recommendations. Advice is given for each individual on how best to meets their needs in school; this could be SEN advice, teaching methods, materials or organisation, strategic matters.</w:t>
            </w:r>
          </w:p>
        </w:tc>
      </w:tr>
      <w:tr w:rsidR="007421D6" w:rsidTr="00EE3F15">
        <w:tc>
          <w:tcPr>
            <w:tcW w:w="4508" w:type="dxa"/>
          </w:tcPr>
          <w:p w:rsidR="007421D6" w:rsidRDefault="007421D6" w:rsidP="00EE3F15">
            <w:pPr>
              <w:rPr>
                <w:rFonts w:asciiTheme="minorHAnsi" w:hAnsiTheme="minorHAnsi" w:cstheme="minorHAnsi"/>
                <w:b/>
                <w:sz w:val="24"/>
                <w:szCs w:val="24"/>
              </w:rPr>
            </w:pPr>
            <w:r>
              <w:rPr>
                <w:rFonts w:asciiTheme="minorHAnsi" w:hAnsiTheme="minorHAnsi" w:cstheme="minorHAnsi"/>
                <w:b/>
                <w:sz w:val="24"/>
                <w:szCs w:val="24"/>
              </w:rPr>
              <w:t>Educational Psychologist</w:t>
            </w:r>
          </w:p>
        </w:tc>
        <w:tc>
          <w:tcPr>
            <w:tcW w:w="4508" w:type="dxa"/>
          </w:tcPr>
          <w:p w:rsidR="007421D6" w:rsidRPr="007421D6" w:rsidRDefault="007421D6" w:rsidP="00EE3F15">
            <w:pPr>
              <w:rPr>
                <w:sz w:val="20"/>
                <w:szCs w:val="20"/>
              </w:rPr>
            </w:pPr>
            <w:r w:rsidRPr="007421D6">
              <w:rPr>
                <w:sz w:val="20"/>
                <w:szCs w:val="20"/>
              </w:rPr>
              <w:t>Individual support. Educational Psychologists aim to promote the educational, social, emotional and behavioural well-being of children. An Educational Psychologist provides consultation to schools and staff and discusses the concerns regarding the psychological needs of the pupils. They also make a particular contribution to those children who are undergoing a Statutory Assessment of their special educational needs by the provision of the required psychological advice.</w:t>
            </w:r>
          </w:p>
        </w:tc>
      </w:tr>
      <w:tr w:rsidR="007421D6" w:rsidTr="00EE3F15">
        <w:tc>
          <w:tcPr>
            <w:tcW w:w="4508" w:type="dxa"/>
          </w:tcPr>
          <w:p w:rsidR="007421D6" w:rsidRDefault="007421D6" w:rsidP="00EE3F15">
            <w:pPr>
              <w:rPr>
                <w:rFonts w:asciiTheme="minorHAnsi" w:hAnsiTheme="minorHAnsi" w:cstheme="minorHAnsi"/>
                <w:b/>
                <w:sz w:val="24"/>
                <w:szCs w:val="24"/>
              </w:rPr>
            </w:pPr>
            <w:proofErr w:type="spellStart"/>
            <w:r>
              <w:rPr>
                <w:rFonts w:asciiTheme="minorHAnsi" w:hAnsiTheme="minorHAnsi" w:cstheme="minorHAnsi"/>
                <w:b/>
                <w:sz w:val="24"/>
                <w:szCs w:val="24"/>
              </w:rPr>
              <w:t>Gilbrook</w:t>
            </w:r>
            <w:proofErr w:type="spellEnd"/>
            <w:r>
              <w:rPr>
                <w:rFonts w:asciiTheme="minorHAnsi" w:hAnsiTheme="minorHAnsi" w:cstheme="minorHAnsi"/>
                <w:b/>
                <w:sz w:val="24"/>
                <w:szCs w:val="24"/>
              </w:rPr>
              <w:t xml:space="preserve"> Outreach</w:t>
            </w:r>
          </w:p>
        </w:tc>
        <w:tc>
          <w:tcPr>
            <w:tcW w:w="4508" w:type="dxa"/>
          </w:tcPr>
          <w:p w:rsidR="007421D6" w:rsidRPr="007421D6" w:rsidRDefault="007421D6" w:rsidP="00EE3F15">
            <w:pPr>
              <w:rPr>
                <w:sz w:val="20"/>
                <w:szCs w:val="20"/>
              </w:rPr>
            </w:pPr>
            <w:r w:rsidRPr="007421D6">
              <w:rPr>
                <w:sz w:val="20"/>
                <w:szCs w:val="20"/>
              </w:rPr>
              <w:t xml:space="preserve">Individual support. A member of staff from </w:t>
            </w:r>
            <w:proofErr w:type="spellStart"/>
            <w:r w:rsidRPr="007421D6">
              <w:rPr>
                <w:sz w:val="20"/>
                <w:szCs w:val="20"/>
              </w:rPr>
              <w:t>Gilbrook</w:t>
            </w:r>
            <w:proofErr w:type="spellEnd"/>
            <w:r w:rsidRPr="007421D6">
              <w:rPr>
                <w:sz w:val="20"/>
                <w:szCs w:val="20"/>
              </w:rPr>
              <w:t xml:space="preserve"> Outreach works with school to support the management of individual children with challenging behaviour. This enables pupils with emotional and behavioural difficulties to be supported within school focusing on preventative work to ensure that needs are identified as quickly as possible and that early action is taken to meet those needs.</w:t>
            </w:r>
          </w:p>
        </w:tc>
      </w:tr>
    </w:tbl>
    <w:p w:rsidR="00EE3F15" w:rsidRPr="00EE3F15" w:rsidRDefault="00EE3F15" w:rsidP="00EE3F15">
      <w:pPr>
        <w:rPr>
          <w:rFonts w:asciiTheme="minorHAnsi" w:hAnsiTheme="minorHAnsi" w:cstheme="minorHAnsi"/>
          <w:b/>
          <w:sz w:val="24"/>
          <w:szCs w:val="24"/>
        </w:rPr>
      </w:pPr>
    </w:p>
    <w:sectPr w:rsidR="00EE3F15" w:rsidRPr="00EE3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2214B"/>
    <w:multiLevelType w:val="multilevel"/>
    <w:tmpl w:val="BF2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15"/>
    <w:rsid w:val="00197527"/>
    <w:rsid w:val="00406206"/>
    <w:rsid w:val="007421D6"/>
    <w:rsid w:val="008F1FEB"/>
    <w:rsid w:val="00992BBB"/>
    <w:rsid w:val="00AE38CE"/>
    <w:rsid w:val="00E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2B7C-BDEB-4E36-9BC6-1CCE571D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b">
    <w:name w:val="nb"/>
    <w:basedOn w:val="DefaultParagraphFont"/>
    <w:rsid w:val="00EE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4656">
      <w:bodyDiv w:val="1"/>
      <w:marLeft w:val="0"/>
      <w:marRight w:val="0"/>
      <w:marTop w:val="0"/>
      <w:marBottom w:val="0"/>
      <w:divBdr>
        <w:top w:val="none" w:sz="0" w:space="0" w:color="auto"/>
        <w:left w:val="none" w:sz="0" w:space="0" w:color="auto"/>
        <w:bottom w:val="none" w:sz="0" w:space="0" w:color="auto"/>
        <w:right w:val="none" w:sz="0" w:space="0" w:color="auto"/>
      </w:divBdr>
    </w:div>
    <w:div w:id="9073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20E54EF1</Template>
  <TotalTime>25</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Billinge</dc:creator>
  <cp:keywords/>
  <dc:description/>
  <cp:lastModifiedBy>Mrs Billinge</cp:lastModifiedBy>
  <cp:revision>6</cp:revision>
  <dcterms:created xsi:type="dcterms:W3CDTF">2019-03-25T10:18:00Z</dcterms:created>
  <dcterms:modified xsi:type="dcterms:W3CDTF">2019-03-25T10:44:00Z</dcterms:modified>
</cp:coreProperties>
</file>